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42"/>
        <w:gridCol w:w="532"/>
        <w:gridCol w:w="6568"/>
      </w:tblGrid>
      <w:tr w:rsidR="003F47AC" w:rsidRPr="00911B6F" w:rsidTr="0099699B">
        <w:tc>
          <w:tcPr>
            <w:tcW w:w="2398" w:type="dxa"/>
            <w:vMerge w:val="restart"/>
          </w:tcPr>
          <w:p w:rsidR="003F47AC" w:rsidRPr="00EA5C32" w:rsidRDefault="003F47AC" w:rsidP="0099699B">
            <w:pPr>
              <w:pStyle w:val="NoSpacing"/>
              <w:rPr>
                <w:rFonts w:ascii="Times New Roman" w:hAnsi="Times New Roman" w:cs="Times New Roman"/>
                <w:b/>
              </w:rPr>
            </w:pPr>
            <w:r>
              <w:rPr>
                <w:rFonts w:ascii="Times New Roman" w:hAnsi="Times New Roman" w:cs="Times New Roman"/>
                <w:b/>
              </w:rPr>
              <w:t xml:space="preserve">Renewal of </w:t>
            </w:r>
            <w:proofErr w:type="spellStart"/>
            <w:r w:rsidRPr="00EA5C32">
              <w:rPr>
                <w:rFonts w:ascii="Times New Roman" w:hAnsi="Times New Roman" w:cs="Times New Roman"/>
                <w:b/>
              </w:rPr>
              <w:t>licence</w:t>
            </w:r>
            <w:r>
              <w:rPr>
                <w:rFonts w:ascii="Times New Roman" w:hAnsi="Times New Roman" w:cs="Times New Roman"/>
                <w:b/>
              </w:rPr>
              <w:t>s</w:t>
            </w:r>
            <w:proofErr w:type="spellEnd"/>
            <w:r w:rsidRPr="00EA5C32">
              <w:rPr>
                <w:rFonts w:ascii="Times New Roman" w:hAnsi="Times New Roman" w:cs="Times New Roman"/>
                <w:b/>
              </w:rPr>
              <w:t>-</w:t>
            </w:r>
          </w:p>
        </w:tc>
        <w:tc>
          <w:tcPr>
            <w:tcW w:w="546" w:type="dxa"/>
          </w:tcPr>
          <w:p w:rsidR="003F47AC" w:rsidRDefault="003F47AC" w:rsidP="0099699B">
            <w:pPr>
              <w:pStyle w:val="NoSpacing"/>
              <w:rPr>
                <w:rFonts w:ascii="Times New Roman" w:hAnsi="Times New Roman" w:cs="Times New Roman"/>
              </w:rPr>
            </w:pPr>
            <w:r>
              <w:rPr>
                <w:rFonts w:ascii="Times New Roman" w:hAnsi="Times New Roman" w:cs="Times New Roman"/>
              </w:rPr>
              <w:t>(1)</w:t>
            </w:r>
          </w:p>
        </w:tc>
        <w:tc>
          <w:tcPr>
            <w:tcW w:w="7739" w:type="dxa"/>
          </w:tcPr>
          <w:p w:rsidR="003F47AC" w:rsidRDefault="003F47AC" w:rsidP="0099699B">
            <w:pPr>
              <w:pStyle w:val="NoSpacing"/>
              <w:jc w:val="both"/>
              <w:rPr>
                <w:rFonts w:ascii="Times New Roman" w:hAnsi="Times New Roman" w:cs="Times New Roman"/>
              </w:rPr>
            </w:pPr>
            <w:r>
              <w:rPr>
                <w:rFonts w:ascii="Times New Roman" w:hAnsi="Times New Roman" w:cs="Times New Roman"/>
              </w:rPr>
              <w:t xml:space="preserve">Every </w:t>
            </w:r>
            <w:proofErr w:type="spellStart"/>
            <w:r>
              <w:rPr>
                <w:rFonts w:ascii="Times New Roman" w:hAnsi="Times New Roman" w:cs="Times New Roman"/>
              </w:rPr>
              <w:t>licence</w:t>
            </w:r>
            <w:proofErr w:type="spellEnd"/>
            <w:r>
              <w:rPr>
                <w:rFonts w:ascii="Times New Roman" w:hAnsi="Times New Roman" w:cs="Times New Roman"/>
              </w:rPr>
              <w:t xml:space="preserve"> may, at its expiration and subject to the same conditions (if any) as to the grant thereof be renewed by the authority mentioned in Schedule-II as renewing authority  within a period of thirty days of receipt of the police report.</w:t>
            </w:r>
          </w:p>
          <w:p w:rsidR="003F47AC" w:rsidRPr="00911B6F" w:rsidRDefault="003F47AC" w:rsidP="0099699B">
            <w:pPr>
              <w:pStyle w:val="NoSpacing"/>
              <w:jc w:val="both"/>
              <w:rPr>
                <w:rFonts w:ascii="Times New Roman" w:hAnsi="Times New Roman" w:cs="Times New Roman"/>
              </w:rPr>
            </w:pPr>
          </w:p>
        </w:tc>
      </w:tr>
      <w:tr w:rsidR="003F47AC" w:rsidRPr="00981F56" w:rsidTr="0099699B">
        <w:tc>
          <w:tcPr>
            <w:tcW w:w="2398" w:type="dxa"/>
            <w:vMerge/>
          </w:tcPr>
          <w:p w:rsidR="003F47AC" w:rsidRDefault="003F47AC" w:rsidP="0099699B">
            <w:pPr>
              <w:pStyle w:val="NoSpacing"/>
              <w:rPr>
                <w:rFonts w:ascii="Times New Roman" w:hAnsi="Times New Roman" w:cs="Times New Roman"/>
              </w:rPr>
            </w:pPr>
          </w:p>
        </w:tc>
        <w:tc>
          <w:tcPr>
            <w:tcW w:w="546" w:type="dxa"/>
          </w:tcPr>
          <w:p w:rsidR="003F47AC" w:rsidRDefault="003F47AC" w:rsidP="0099699B">
            <w:pPr>
              <w:pStyle w:val="NoSpacing"/>
              <w:rPr>
                <w:rFonts w:ascii="Times New Roman" w:hAnsi="Times New Roman" w:cs="Times New Roman"/>
              </w:rPr>
            </w:pPr>
          </w:p>
        </w:tc>
        <w:tc>
          <w:tcPr>
            <w:tcW w:w="7739" w:type="dxa"/>
          </w:tcPr>
          <w:p w:rsidR="003F47AC" w:rsidRDefault="003F47AC" w:rsidP="0099699B">
            <w:pPr>
              <w:pStyle w:val="NoSpacing"/>
              <w:jc w:val="both"/>
              <w:rPr>
                <w:rFonts w:ascii="Times New Roman" w:hAnsi="Times New Roman" w:cs="Times New Roman"/>
              </w:rPr>
            </w:pPr>
            <w:r>
              <w:rPr>
                <w:rFonts w:ascii="Times New Roman" w:hAnsi="Times New Roman" w:cs="Times New Roman"/>
              </w:rPr>
              <w:t xml:space="preserve">Provided that the </w:t>
            </w:r>
            <w:proofErr w:type="spellStart"/>
            <w:r>
              <w:rPr>
                <w:rFonts w:ascii="Times New Roman" w:hAnsi="Times New Roman" w:cs="Times New Roman"/>
              </w:rPr>
              <w:t>licence</w:t>
            </w:r>
            <w:proofErr w:type="spellEnd"/>
            <w:r>
              <w:rPr>
                <w:rFonts w:ascii="Times New Roman" w:hAnsi="Times New Roman" w:cs="Times New Roman"/>
              </w:rPr>
              <w:t xml:space="preserve"> so renewed may be signe3d in the appropriate column of the </w:t>
            </w:r>
            <w:proofErr w:type="spellStart"/>
            <w:r>
              <w:rPr>
                <w:rFonts w:ascii="Times New Roman" w:hAnsi="Times New Roman" w:cs="Times New Roman"/>
              </w:rPr>
              <w:t>licence</w:t>
            </w:r>
            <w:proofErr w:type="spellEnd"/>
            <w:r>
              <w:rPr>
                <w:rFonts w:ascii="Times New Roman" w:hAnsi="Times New Roman" w:cs="Times New Roman"/>
              </w:rPr>
              <w:t xml:space="preserve"> by such officer as may be specifically empowered in this behalf by the State Government under Rule-5.</w:t>
            </w:r>
          </w:p>
          <w:p w:rsidR="003F47AC" w:rsidRPr="00981F56" w:rsidRDefault="003F47AC" w:rsidP="0099699B">
            <w:pPr>
              <w:pStyle w:val="NoSpacing"/>
              <w:jc w:val="both"/>
              <w:rPr>
                <w:rFonts w:ascii="Times New Roman" w:hAnsi="Times New Roman" w:cs="Times New Roman"/>
                <w:sz w:val="14"/>
              </w:rPr>
            </w:pPr>
          </w:p>
        </w:tc>
      </w:tr>
      <w:tr w:rsidR="003F47AC" w:rsidRPr="00981F56" w:rsidTr="0099699B">
        <w:tc>
          <w:tcPr>
            <w:tcW w:w="2398" w:type="dxa"/>
            <w:vMerge/>
          </w:tcPr>
          <w:p w:rsidR="003F47AC" w:rsidRDefault="003F47AC" w:rsidP="0099699B">
            <w:pPr>
              <w:pStyle w:val="NoSpacing"/>
              <w:rPr>
                <w:rFonts w:ascii="Times New Roman" w:hAnsi="Times New Roman" w:cs="Times New Roman"/>
              </w:rPr>
            </w:pPr>
          </w:p>
        </w:tc>
        <w:tc>
          <w:tcPr>
            <w:tcW w:w="546" w:type="dxa"/>
          </w:tcPr>
          <w:p w:rsidR="003F47AC" w:rsidRDefault="003F47AC" w:rsidP="0099699B">
            <w:pPr>
              <w:pStyle w:val="NoSpacing"/>
              <w:rPr>
                <w:rFonts w:ascii="Times New Roman" w:hAnsi="Times New Roman" w:cs="Times New Roman"/>
              </w:rPr>
            </w:pPr>
            <w:r>
              <w:rPr>
                <w:rFonts w:ascii="Times New Roman" w:hAnsi="Times New Roman" w:cs="Times New Roman"/>
              </w:rPr>
              <w:t>(2)</w:t>
            </w:r>
          </w:p>
        </w:tc>
        <w:tc>
          <w:tcPr>
            <w:tcW w:w="7739" w:type="dxa"/>
          </w:tcPr>
          <w:p w:rsidR="003F47AC" w:rsidRDefault="003F47AC" w:rsidP="0099699B">
            <w:pPr>
              <w:pStyle w:val="NoSpacing"/>
              <w:jc w:val="both"/>
              <w:rPr>
                <w:rFonts w:ascii="Times New Roman" w:hAnsi="Times New Roman" w:cs="Times New Roman"/>
              </w:rPr>
            </w:pPr>
            <w:r>
              <w:rPr>
                <w:rFonts w:ascii="Times New Roman" w:hAnsi="Times New Roman" w:cs="Times New Roman"/>
              </w:rPr>
              <w:t xml:space="preserve">An application for renewal of a </w:t>
            </w:r>
            <w:proofErr w:type="spellStart"/>
            <w:r>
              <w:rPr>
                <w:rFonts w:ascii="Times New Roman" w:hAnsi="Times New Roman" w:cs="Times New Roman"/>
              </w:rPr>
              <w:t>licence</w:t>
            </w:r>
            <w:proofErr w:type="spellEnd"/>
            <w:r>
              <w:rPr>
                <w:rFonts w:ascii="Times New Roman" w:hAnsi="Times New Roman" w:cs="Times New Roman"/>
              </w:rPr>
              <w:t xml:space="preserve"> for arms or ammunition shall be filed in the Form wherein specified at least sixty days prior to the expiry of the said </w:t>
            </w:r>
            <w:proofErr w:type="spellStart"/>
            <w:r>
              <w:rPr>
                <w:rFonts w:ascii="Times New Roman" w:hAnsi="Times New Roman" w:cs="Times New Roman"/>
              </w:rPr>
              <w:t>licence</w:t>
            </w:r>
            <w:proofErr w:type="spellEnd"/>
            <w:r>
              <w:rPr>
                <w:rFonts w:ascii="Times New Roman" w:hAnsi="Times New Roman" w:cs="Times New Roman"/>
              </w:rPr>
              <w:t xml:space="preserve"> with the licensing authority </w:t>
            </w:r>
            <w:proofErr w:type="spellStart"/>
            <w:r>
              <w:rPr>
                <w:rFonts w:ascii="Times New Roman" w:hAnsi="Times New Roman" w:cs="Times New Roman"/>
              </w:rPr>
              <w:t>alongwith</w:t>
            </w:r>
            <w:proofErr w:type="spellEnd"/>
            <w:r>
              <w:rPr>
                <w:rFonts w:ascii="Times New Roman" w:hAnsi="Times New Roman" w:cs="Times New Roman"/>
              </w:rPr>
              <w:t xml:space="preserve"> the documents wherein specified in the Form.</w:t>
            </w:r>
          </w:p>
          <w:p w:rsidR="003F47AC" w:rsidRPr="00981F56" w:rsidRDefault="003F47AC" w:rsidP="0099699B">
            <w:pPr>
              <w:pStyle w:val="NoSpacing"/>
              <w:jc w:val="both"/>
              <w:rPr>
                <w:rFonts w:ascii="Times New Roman" w:hAnsi="Times New Roman" w:cs="Times New Roman"/>
                <w:sz w:val="10"/>
              </w:rPr>
            </w:pPr>
          </w:p>
        </w:tc>
      </w:tr>
      <w:tr w:rsidR="003F47AC" w:rsidTr="0099699B">
        <w:trPr>
          <w:trHeight w:val="1313"/>
        </w:trPr>
        <w:tc>
          <w:tcPr>
            <w:tcW w:w="2398" w:type="dxa"/>
            <w:vMerge/>
            <w:tcBorders>
              <w:bottom w:val="single" w:sz="4" w:space="0" w:color="auto"/>
            </w:tcBorders>
          </w:tcPr>
          <w:p w:rsidR="003F47AC" w:rsidRDefault="003F47AC" w:rsidP="0099699B">
            <w:pPr>
              <w:pStyle w:val="NoSpacing"/>
              <w:rPr>
                <w:rFonts w:ascii="Times New Roman" w:hAnsi="Times New Roman" w:cs="Times New Roman"/>
              </w:rPr>
            </w:pPr>
          </w:p>
        </w:tc>
        <w:tc>
          <w:tcPr>
            <w:tcW w:w="546" w:type="dxa"/>
            <w:tcBorders>
              <w:bottom w:val="single" w:sz="4" w:space="0" w:color="auto"/>
            </w:tcBorders>
          </w:tcPr>
          <w:p w:rsidR="003F47AC" w:rsidRDefault="003F47AC" w:rsidP="0099699B">
            <w:pPr>
              <w:pStyle w:val="NoSpacing"/>
              <w:rPr>
                <w:rFonts w:ascii="Times New Roman" w:hAnsi="Times New Roman" w:cs="Times New Roman"/>
              </w:rPr>
            </w:pPr>
          </w:p>
        </w:tc>
        <w:tc>
          <w:tcPr>
            <w:tcW w:w="7739" w:type="dxa"/>
            <w:tcBorders>
              <w:bottom w:val="single" w:sz="4" w:space="0" w:color="auto"/>
            </w:tcBorders>
          </w:tcPr>
          <w:p w:rsidR="003F47AC" w:rsidRDefault="003F47AC" w:rsidP="0099699B">
            <w:pPr>
              <w:pStyle w:val="NoSpacing"/>
              <w:jc w:val="both"/>
              <w:rPr>
                <w:rFonts w:ascii="Times New Roman" w:hAnsi="Times New Roman" w:cs="Times New Roman"/>
              </w:rPr>
            </w:pPr>
            <w:r>
              <w:rPr>
                <w:rFonts w:ascii="Times New Roman" w:hAnsi="Times New Roman" w:cs="Times New Roman"/>
              </w:rPr>
              <w:t>Provided that in the case of arms and ammunition deposited under Sub-Rule (1) of Rule-48, the renewal application may be filed either by the depositor or where it is not practicable to make the application direct, through the dealer or any other person authorized by him in writing in this behalf, while the arms or ammunition continue to be so deposited.</w:t>
            </w:r>
          </w:p>
        </w:tc>
      </w:tr>
      <w:tr w:rsidR="003F47AC" w:rsidTr="003F47AC">
        <w:trPr>
          <w:trHeight w:val="70"/>
        </w:trPr>
        <w:tc>
          <w:tcPr>
            <w:tcW w:w="2398" w:type="dxa"/>
            <w:tcBorders>
              <w:top w:val="single" w:sz="4" w:space="0" w:color="auto"/>
              <w:left w:val="nil"/>
              <w:bottom w:val="nil"/>
              <w:right w:val="nil"/>
            </w:tcBorders>
          </w:tcPr>
          <w:p w:rsidR="003F47AC" w:rsidRDefault="003F47AC" w:rsidP="0099699B">
            <w:pPr>
              <w:pStyle w:val="NoSpacing"/>
              <w:rPr>
                <w:rFonts w:ascii="Times New Roman" w:hAnsi="Times New Roman" w:cs="Times New Roman"/>
              </w:rPr>
            </w:pPr>
          </w:p>
        </w:tc>
        <w:tc>
          <w:tcPr>
            <w:tcW w:w="8285" w:type="dxa"/>
            <w:gridSpan w:val="2"/>
            <w:tcBorders>
              <w:top w:val="single" w:sz="4" w:space="0" w:color="auto"/>
              <w:left w:val="nil"/>
              <w:bottom w:val="nil"/>
              <w:right w:val="nil"/>
            </w:tcBorders>
          </w:tcPr>
          <w:p w:rsidR="003F47AC" w:rsidRDefault="003F47AC" w:rsidP="0099699B">
            <w:pPr>
              <w:pStyle w:val="NoSpacing"/>
              <w:jc w:val="both"/>
              <w:rPr>
                <w:rFonts w:ascii="Times New Roman" w:hAnsi="Times New Roman" w:cs="Times New Roman"/>
              </w:rPr>
            </w:pPr>
          </w:p>
          <w:p w:rsidR="003F47AC" w:rsidRDefault="003F47AC" w:rsidP="0099699B">
            <w:pPr>
              <w:pStyle w:val="NoSpacing"/>
              <w:jc w:val="both"/>
              <w:rPr>
                <w:rFonts w:ascii="Times New Roman" w:hAnsi="Times New Roman" w:cs="Times New Roman"/>
              </w:rPr>
            </w:pPr>
          </w:p>
        </w:tc>
      </w:tr>
      <w:tr w:rsidR="003F47AC" w:rsidTr="0099699B">
        <w:tc>
          <w:tcPr>
            <w:tcW w:w="2398" w:type="dxa"/>
            <w:vMerge w:val="restart"/>
            <w:tcBorders>
              <w:top w:val="single" w:sz="4" w:space="0" w:color="auto"/>
            </w:tcBorders>
          </w:tcPr>
          <w:p w:rsidR="003F47AC" w:rsidRDefault="003F47AC" w:rsidP="0099699B">
            <w:pPr>
              <w:pStyle w:val="NoSpacing"/>
              <w:rPr>
                <w:rFonts w:ascii="Times New Roman" w:hAnsi="Times New Roman" w:cs="Times New Roman"/>
              </w:rPr>
            </w:pPr>
          </w:p>
        </w:tc>
        <w:tc>
          <w:tcPr>
            <w:tcW w:w="546" w:type="dxa"/>
            <w:tcBorders>
              <w:top w:val="single" w:sz="4" w:space="0" w:color="auto"/>
            </w:tcBorders>
          </w:tcPr>
          <w:p w:rsidR="003F47AC" w:rsidRDefault="003F47AC" w:rsidP="0099699B">
            <w:pPr>
              <w:pStyle w:val="NoSpacing"/>
              <w:rPr>
                <w:rFonts w:ascii="Times New Roman" w:hAnsi="Times New Roman" w:cs="Times New Roman"/>
              </w:rPr>
            </w:pPr>
            <w:r>
              <w:rPr>
                <w:rFonts w:ascii="Times New Roman" w:hAnsi="Times New Roman" w:cs="Times New Roman"/>
              </w:rPr>
              <w:t>(3)</w:t>
            </w:r>
          </w:p>
        </w:tc>
        <w:tc>
          <w:tcPr>
            <w:tcW w:w="7739" w:type="dxa"/>
            <w:tcBorders>
              <w:top w:val="single" w:sz="4" w:space="0" w:color="auto"/>
            </w:tcBorders>
          </w:tcPr>
          <w:p w:rsidR="003F47AC" w:rsidRDefault="003F47AC" w:rsidP="0099699B">
            <w:pPr>
              <w:pStyle w:val="NoSpacing"/>
              <w:jc w:val="both"/>
              <w:rPr>
                <w:rFonts w:ascii="Times New Roman" w:hAnsi="Times New Roman" w:cs="Times New Roman"/>
              </w:rPr>
            </w:pPr>
            <w:r>
              <w:rPr>
                <w:rFonts w:ascii="Times New Roman" w:hAnsi="Times New Roman" w:cs="Times New Roman"/>
              </w:rPr>
              <w:t xml:space="preserve">The authority issuing a </w:t>
            </w:r>
            <w:proofErr w:type="spellStart"/>
            <w:r>
              <w:rPr>
                <w:rFonts w:ascii="Times New Roman" w:hAnsi="Times New Roman" w:cs="Times New Roman"/>
              </w:rPr>
              <w:t>licence</w:t>
            </w:r>
            <w:proofErr w:type="spellEnd"/>
            <w:r>
              <w:rPr>
                <w:rFonts w:ascii="Times New Roman" w:hAnsi="Times New Roman" w:cs="Times New Roman"/>
              </w:rPr>
              <w:t xml:space="preserve"> shall ordinarily be responsible for watching all future renewals of the </w:t>
            </w:r>
            <w:proofErr w:type="spellStart"/>
            <w:r>
              <w:rPr>
                <w:rFonts w:ascii="Times New Roman" w:hAnsi="Times New Roman" w:cs="Times New Roman"/>
              </w:rPr>
              <w:t>licence</w:t>
            </w:r>
            <w:proofErr w:type="spellEnd"/>
            <w:r>
              <w:rPr>
                <w:rFonts w:ascii="Times New Roman" w:hAnsi="Times New Roman" w:cs="Times New Roman"/>
              </w:rPr>
              <w:t>.</w:t>
            </w:r>
          </w:p>
          <w:p w:rsidR="003F47AC" w:rsidRDefault="003F47AC" w:rsidP="0099699B">
            <w:pPr>
              <w:pStyle w:val="NoSpacing"/>
              <w:jc w:val="both"/>
              <w:rPr>
                <w:rFonts w:ascii="Times New Roman" w:hAnsi="Times New Roman" w:cs="Times New Roman"/>
              </w:rPr>
            </w:pPr>
          </w:p>
        </w:tc>
      </w:tr>
      <w:tr w:rsidR="003F47AC" w:rsidTr="0099699B">
        <w:tc>
          <w:tcPr>
            <w:tcW w:w="2398" w:type="dxa"/>
            <w:vMerge/>
          </w:tcPr>
          <w:p w:rsidR="003F47AC" w:rsidRDefault="003F47AC" w:rsidP="0099699B">
            <w:pPr>
              <w:pStyle w:val="NoSpacing"/>
              <w:rPr>
                <w:rFonts w:ascii="Times New Roman" w:hAnsi="Times New Roman" w:cs="Times New Roman"/>
              </w:rPr>
            </w:pPr>
          </w:p>
        </w:tc>
        <w:tc>
          <w:tcPr>
            <w:tcW w:w="546" w:type="dxa"/>
          </w:tcPr>
          <w:p w:rsidR="003F47AC" w:rsidRDefault="003F47AC" w:rsidP="0099699B">
            <w:pPr>
              <w:pStyle w:val="NoSpacing"/>
              <w:rPr>
                <w:rFonts w:ascii="Times New Roman" w:hAnsi="Times New Roman" w:cs="Times New Roman"/>
              </w:rPr>
            </w:pPr>
          </w:p>
        </w:tc>
        <w:tc>
          <w:tcPr>
            <w:tcW w:w="7739" w:type="dxa"/>
          </w:tcPr>
          <w:p w:rsidR="003F47AC" w:rsidRDefault="003F47AC" w:rsidP="0099699B">
            <w:pPr>
              <w:pStyle w:val="NoSpacing"/>
              <w:jc w:val="both"/>
              <w:rPr>
                <w:rFonts w:ascii="Times New Roman" w:hAnsi="Times New Roman" w:cs="Times New Roman"/>
              </w:rPr>
            </w:pPr>
            <w:r>
              <w:rPr>
                <w:rFonts w:ascii="Times New Roman" w:hAnsi="Times New Roman" w:cs="Times New Roman"/>
              </w:rPr>
              <w:t xml:space="preserve">Provided that where a licensee notifies a change of his place of residence, permanently or temporarily for a period of more than six months, to the licensing authority of the district in which the renewal is sought, the licensing authority of that district shall thence-forth become responsible for watching all future renewals of his </w:t>
            </w:r>
            <w:proofErr w:type="spellStart"/>
            <w:r>
              <w:rPr>
                <w:rFonts w:ascii="Times New Roman" w:hAnsi="Times New Roman" w:cs="Times New Roman"/>
              </w:rPr>
              <w:t>licence</w:t>
            </w:r>
            <w:proofErr w:type="spellEnd"/>
            <w:r>
              <w:rPr>
                <w:rFonts w:ascii="Times New Roman" w:hAnsi="Times New Roman" w:cs="Times New Roman"/>
              </w:rPr>
              <w:t>.</w:t>
            </w:r>
          </w:p>
          <w:p w:rsidR="003F47AC" w:rsidRDefault="003F47AC" w:rsidP="0099699B">
            <w:pPr>
              <w:pStyle w:val="NoSpacing"/>
              <w:jc w:val="both"/>
              <w:rPr>
                <w:rFonts w:ascii="Times New Roman" w:hAnsi="Times New Roman" w:cs="Times New Roman"/>
              </w:rPr>
            </w:pPr>
          </w:p>
        </w:tc>
      </w:tr>
      <w:tr w:rsidR="003F47AC" w:rsidTr="0099699B">
        <w:tc>
          <w:tcPr>
            <w:tcW w:w="2398" w:type="dxa"/>
            <w:vMerge/>
          </w:tcPr>
          <w:p w:rsidR="003F47AC" w:rsidRDefault="003F47AC" w:rsidP="0099699B">
            <w:pPr>
              <w:pStyle w:val="NoSpacing"/>
              <w:rPr>
                <w:rFonts w:ascii="Times New Roman" w:hAnsi="Times New Roman" w:cs="Times New Roman"/>
              </w:rPr>
            </w:pPr>
          </w:p>
        </w:tc>
        <w:tc>
          <w:tcPr>
            <w:tcW w:w="546" w:type="dxa"/>
          </w:tcPr>
          <w:p w:rsidR="003F47AC" w:rsidRDefault="003F47AC" w:rsidP="0099699B">
            <w:pPr>
              <w:pStyle w:val="NoSpacing"/>
              <w:rPr>
                <w:rFonts w:ascii="Times New Roman" w:hAnsi="Times New Roman" w:cs="Times New Roman"/>
              </w:rPr>
            </w:pPr>
            <w:r>
              <w:rPr>
                <w:rFonts w:ascii="Times New Roman" w:hAnsi="Times New Roman" w:cs="Times New Roman"/>
              </w:rPr>
              <w:t>(4)</w:t>
            </w:r>
          </w:p>
        </w:tc>
        <w:tc>
          <w:tcPr>
            <w:tcW w:w="7739" w:type="dxa"/>
          </w:tcPr>
          <w:p w:rsidR="003F47AC" w:rsidRDefault="003F47AC" w:rsidP="0099699B">
            <w:pPr>
              <w:pStyle w:val="NoSpacing"/>
              <w:jc w:val="both"/>
              <w:rPr>
                <w:rFonts w:ascii="Times New Roman" w:hAnsi="Times New Roman" w:cs="Times New Roman"/>
              </w:rPr>
            </w:pPr>
            <w:r>
              <w:rPr>
                <w:rFonts w:ascii="Times New Roman" w:hAnsi="Times New Roman" w:cs="Times New Roman"/>
              </w:rPr>
              <w:t>The new renewing authority shall, in respect of a licensee who notifies a change of his place of residence under Sub-Rule-(3), register the licensee under its own jurisdiction in accordance with the provisions specified in Rule-17 and carry out the renewal thereof and forthwith, inform the original issuing or last renewing authority.</w:t>
            </w:r>
          </w:p>
          <w:p w:rsidR="003F47AC" w:rsidRDefault="003F47AC" w:rsidP="0099699B">
            <w:pPr>
              <w:pStyle w:val="NoSpacing"/>
              <w:jc w:val="both"/>
              <w:rPr>
                <w:rFonts w:ascii="Times New Roman" w:hAnsi="Times New Roman" w:cs="Times New Roman"/>
              </w:rPr>
            </w:pPr>
          </w:p>
        </w:tc>
      </w:tr>
      <w:tr w:rsidR="003F47AC" w:rsidTr="0099699B">
        <w:tc>
          <w:tcPr>
            <w:tcW w:w="2398" w:type="dxa"/>
            <w:vMerge/>
          </w:tcPr>
          <w:p w:rsidR="003F47AC" w:rsidRDefault="003F47AC" w:rsidP="0099699B">
            <w:pPr>
              <w:pStyle w:val="NoSpacing"/>
              <w:rPr>
                <w:rFonts w:ascii="Times New Roman" w:hAnsi="Times New Roman" w:cs="Times New Roman"/>
              </w:rPr>
            </w:pPr>
          </w:p>
        </w:tc>
        <w:tc>
          <w:tcPr>
            <w:tcW w:w="546" w:type="dxa"/>
          </w:tcPr>
          <w:p w:rsidR="003F47AC" w:rsidRDefault="003F47AC" w:rsidP="0099699B">
            <w:pPr>
              <w:pStyle w:val="NoSpacing"/>
              <w:rPr>
                <w:rFonts w:ascii="Times New Roman" w:hAnsi="Times New Roman" w:cs="Times New Roman"/>
              </w:rPr>
            </w:pPr>
            <w:r>
              <w:rPr>
                <w:rFonts w:ascii="Times New Roman" w:hAnsi="Times New Roman" w:cs="Times New Roman"/>
              </w:rPr>
              <w:t>(5)</w:t>
            </w:r>
          </w:p>
        </w:tc>
        <w:tc>
          <w:tcPr>
            <w:tcW w:w="7739" w:type="dxa"/>
          </w:tcPr>
          <w:p w:rsidR="003F47AC" w:rsidRDefault="003F47AC" w:rsidP="0099699B">
            <w:pPr>
              <w:pStyle w:val="NoSpacing"/>
              <w:jc w:val="both"/>
              <w:rPr>
                <w:rFonts w:ascii="Times New Roman" w:hAnsi="Times New Roman" w:cs="Times New Roman"/>
              </w:rPr>
            </w:pPr>
            <w:r>
              <w:rPr>
                <w:rFonts w:ascii="Times New Roman" w:hAnsi="Times New Roman" w:cs="Times New Roman"/>
              </w:rPr>
              <w:t xml:space="preserve">The licensing authority may consider an application for renewal of a </w:t>
            </w:r>
            <w:proofErr w:type="spellStart"/>
            <w:r>
              <w:rPr>
                <w:rFonts w:ascii="Times New Roman" w:hAnsi="Times New Roman" w:cs="Times New Roman"/>
              </w:rPr>
              <w:t>licence</w:t>
            </w:r>
            <w:proofErr w:type="spellEnd"/>
            <w:r>
              <w:rPr>
                <w:rFonts w:ascii="Times New Roman" w:hAnsi="Times New Roman" w:cs="Times New Roman"/>
              </w:rPr>
              <w:t xml:space="preserve">, if the period between the date of its expiry and the date of application is not, in his opinion, unduly long with due regard to the circumstances of the case and all renewal fees are paid; otherwise the application may be treated as one for grant of a fresh </w:t>
            </w:r>
            <w:proofErr w:type="spellStart"/>
            <w:r>
              <w:rPr>
                <w:rFonts w:ascii="Times New Roman" w:hAnsi="Times New Roman" w:cs="Times New Roman"/>
              </w:rPr>
              <w:t>licence</w:t>
            </w:r>
            <w:proofErr w:type="spellEnd"/>
            <w:r>
              <w:rPr>
                <w:rFonts w:ascii="Times New Roman" w:hAnsi="Times New Roman" w:cs="Times New Roman"/>
              </w:rPr>
              <w:t>.</w:t>
            </w:r>
          </w:p>
          <w:p w:rsidR="003F47AC" w:rsidRDefault="003F47AC" w:rsidP="0099699B">
            <w:pPr>
              <w:pStyle w:val="NoSpacing"/>
              <w:jc w:val="both"/>
              <w:rPr>
                <w:rFonts w:ascii="Times New Roman" w:hAnsi="Times New Roman" w:cs="Times New Roman"/>
              </w:rPr>
            </w:pPr>
          </w:p>
        </w:tc>
      </w:tr>
      <w:tr w:rsidR="003F47AC" w:rsidTr="0099699B">
        <w:tc>
          <w:tcPr>
            <w:tcW w:w="2398" w:type="dxa"/>
            <w:vMerge/>
          </w:tcPr>
          <w:p w:rsidR="003F47AC" w:rsidRDefault="003F47AC" w:rsidP="0099699B">
            <w:pPr>
              <w:pStyle w:val="NoSpacing"/>
              <w:rPr>
                <w:rFonts w:ascii="Times New Roman" w:hAnsi="Times New Roman" w:cs="Times New Roman"/>
              </w:rPr>
            </w:pPr>
          </w:p>
        </w:tc>
        <w:tc>
          <w:tcPr>
            <w:tcW w:w="546" w:type="dxa"/>
          </w:tcPr>
          <w:p w:rsidR="003F47AC" w:rsidRDefault="003F47AC" w:rsidP="0099699B">
            <w:pPr>
              <w:pStyle w:val="NoSpacing"/>
              <w:rPr>
                <w:rFonts w:ascii="Times New Roman" w:hAnsi="Times New Roman" w:cs="Times New Roman"/>
              </w:rPr>
            </w:pPr>
            <w:r>
              <w:rPr>
                <w:rFonts w:ascii="Times New Roman" w:hAnsi="Times New Roman" w:cs="Times New Roman"/>
              </w:rPr>
              <w:t>(6)</w:t>
            </w:r>
          </w:p>
        </w:tc>
        <w:tc>
          <w:tcPr>
            <w:tcW w:w="7739" w:type="dxa"/>
          </w:tcPr>
          <w:p w:rsidR="003F47AC" w:rsidRDefault="003F47AC" w:rsidP="0099699B">
            <w:pPr>
              <w:pStyle w:val="NoSpacing"/>
              <w:jc w:val="both"/>
              <w:rPr>
                <w:rFonts w:ascii="Times New Roman" w:hAnsi="Times New Roman" w:cs="Times New Roman"/>
              </w:rPr>
            </w:pPr>
            <w:r>
              <w:rPr>
                <w:rFonts w:ascii="Times New Roman" w:hAnsi="Times New Roman" w:cs="Times New Roman"/>
              </w:rPr>
              <w:t xml:space="preserve">The licensing authority may, in accordance with any instructions issued by the State Government in respect of all or any class of firearms, require the personal attendance of the applicant before renewing the </w:t>
            </w:r>
            <w:proofErr w:type="spellStart"/>
            <w:r>
              <w:rPr>
                <w:rFonts w:ascii="Times New Roman" w:hAnsi="Times New Roman" w:cs="Times New Roman"/>
              </w:rPr>
              <w:t>licence</w:t>
            </w:r>
            <w:proofErr w:type="spellEnd"/>
            <w:r>
              <w:rPr>
                <w:rFonts w:ascii="Times New Roman" w:hAnsi="Times New Roman" w:cs="Times New Roman"/>
              </w:rPr>
              <w:t xml:space="preserve"> under this Rule.</w:t>
            </w:r>
          </w:p>
          <w:p w:rsidR="003F47AC" w:rsidRDefault="003F47AC" w:rsidP="0099699B">
            <w:pPr>
              <w:pStyle w:val="NoSpacing"/>
              <w:jc w:val="both"/>
              <w:rPr>
                <w:rFonts w:ascii="Times New Roman" w:hAnsi="Times New Roman" w:cs="Times New Roman"/>
              </w:rPr>
            </w:pPr>
            <w:r>
              <w:rPr>
                <w:rFonts w:ascii="Times New Roman" w:hAnsi="Times New Roman" w:cs="Times New Roman"/>
              </w:rPr>
              <w:t>An annexure containing Check-List of documents for renewal of arms license has also been included.</w:t>
            </w:r>
          </w:p>
        </w:tc>
      </w:tr>
    </w:tbl>
    <w:p w:rsidR="004F081F" w:rsidRDefault="004F081F"/>
    <w:sectPr w:rsidR="004F081F" w:rsidSect="004F0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7AC"/>
    <w:rsid w:val="00217CBB"/>
    <w:rsid w:val="003F47AC"/>
    <w:rsid w:val="004F081F"/>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7AC"/>
    <w:pPr>
      <w:spacing w:after="0" w:line="240" w:lineRule="auto"/>
    </w:pPr>
    <w:rPr>
      <w:lang w:val="en-US"/>
    </w:rPr>
  </w:style>
  <w:style w:type="table" w:styleId="TableGrid">
    <w:name w:val="Table Grid"/>
    <w:basedOn w:val="TableNormal"/>
    <w:uiPriority w:val="59"/>
    <w:rsid w:val="003F47A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2018-11-15T07:31:00Z</dcterms:created>
  <dcterms:modified xsi:type="dcterms:W3CDTF">2018-11-15T07:33:00Z</dcterms:modified>
</cp:coreProperties>
</file>